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78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8</w:t>
      </w:r>
    </w:p>
    <w:p>
      <w:pPr>
        <w:autoSpaceDE w:val="0"/>
        <w:snapToGrid w:val="0"/>
        <w:spacing w:line="578" w:lineRule="exact"/>
        <w:jc w:val="center"/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hAnsi="Times New Roman"/>
          <w:bCs/>
          <w:color w:val="000000"/>
          <w:kern w:val="0"/>
          <w:sz w:val="44"/>
          <w:szCs w:val="44"/>
        </w:rPr>
        <w:t>2022</w:t>
      </w:r>
      <w:r>
        <w:rPr>
          <w:rFonts w:ascii="方正小标宋_GBK" w:hAnsi="方正小标宋_GBK"/>
          <w:bCs/>
          <w:color w:val="000000"/>
          <w:kern w:val="0"/>
          <w:sz w:val="44"/>
          <w:szCs w:val="44"/>
        </w:rPr>
        <w:t>年泸县残联</w:t>
      </w:r>
      <w:r>
        <w:rPr>
          <w:rFonts w:hint="eastAsia" w:ascii="宋体" w:hAnsi="宋体" w:cs="宋体"/>
          <w:bCs/>
          <w:color w:val="000000"/>
          <w:kern w:val="0"/>
          <w:sz w:val="44"/>
          <w:szCs w:val="44"/>
        </w:rPr>
        <w:t>预算支出绩效报告</w:t>
      </w:r>
    </w:p>
    <w:bookmarkEnd w:id="0"/>
    <w:p>
      <w:pPr>
        <w:autoSpaceDE w:val="0"/>
        <w:snapToGrid w:val="0"/>
        <w:spacing w:line="578" w:lineRule="exact"/>
        <w:jc w:val="center"/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Cs/>
          <w:color w:val="000000"/>
          <w:kern w:val="0"/>
          <w:sz w:val="44"/>
          <w:szCs w:val="44"/>
        </w:rPr>
        <w:t>（报告范围包括机关和下属单位）</w:t>
      </w:r>
    </w:p>
    <w:p>
      <w:pPr>
        <w:autoSpaceDE w:val="0"/>
        <w:spacing w:line="578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仿宋_GB2312" w:hAnsi="Times New Roman" w:eastAsia="仿宋_GB2312"/>
          <w:b/>
          <w:bCs/>
          <w:sz w:val="32"/>
          <w:szCs w:val="32"/>
        </w:rPr>
        <w:t>一、部门（单位）概况</w:t>
      </w:r>
    </w:p>
    <w:p>
      <w:pPr>
        <w:autoSpaceDE w:val="0"/>
        <w:spacing w:line="560" w:lineRule="exact"/>
        <w:ind w:firstLine="630" w:firstLineChars="196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ascii="仿宋_GB2312" w:hAnsi="Times New Roman" w:eastAsia="仿宋_GB2312"/>
          <w:b/>
          <w:bCs/>
          <w:sz w:val="32"/>
          <w:szCs w:val="32"/>
        </w:rPr>
        <w:t>（一）机构组成</w:t>
      </w:r>
    </w:p>
    <w:p>
      <w:pPr>
        <w:pStyle w:val="4"/>
        <w:autoSpaceDE w:val="0"/>
        <w:spacing w:before="0" w:after="0" w:line="578" w:lineRule="exact"/>
        <w:ind w:firstLine="640" w:firstLineChars="200"/>
        <w:rPr>
          <w:rFonts w:ascii="Times New Roman" w:hAnsi="Times New Roman" w:eastAsia="方正仿宋简体"/>
          <w:b w:val="0"/>
          <w:bCs w:val="0"/>
          <w:color w:val="000000"/>
        </w:rPr>
      </w:pPr>
      <w:r>
        <w:rPr>
          <w:rFonts w:ascii="方正仿宋简体" w:hAnsi="Times New Roman" w:eastAsia="方正仿宋简体"/>
          <w:b w:val="0"/>
          <w:bCs w:val="0"/>
          <w:color w:val="000000"/>
        </w:rPr>
        <w:t>泸县残疾人联合会是一级预算单位，属群团组织单位</w:t>
      </w:r>
      <w:r>
        <w:rPr>
          <w:rFonts w:hint="eastAsia" w:ascii="方正仿宋简体" w:hAnsi="Times New Roman" w:eastAsia="方正仿宋简体"/>
          <w:b w:val="0"/>
          <w:bCs w:val="0"/>
          <w:color w:val="000000"/>
        </w:rPr>
        <w:t>，原</w:t>
      </w:r>
      <w:r>
        <w:rPr>
          <w:rFonts w:ascii="方正仿宋简体" w:hAnsi="Times New Roman" w:eastAsia="方正仿宋简体"/>
          <w:b w:val="0"/>
          <w:bCs w:val="0"/>
          <w:color w:val="000000"/>
        </w:rPr>
        <w:t>下属二级单位</w:t>
      </w:r>
      <w:r>
        <w:rPr>
          <w:rFonts w:ascii="Times New Roman" w:hAnsi="Times New Roman" w:eastAsia="方正仿宋简体"/>
          <w:b w:val="0"/>
          <w:bCs w:val="0"/>
          <w:color w:val="000000"/>
        </w:rPr>
        <w:t>1</w:t>
      </w:r>
      <w:r>
        <w:rPr>
          <w:rFonts w:ascii="方正仿宋简体" w:hAnsi="Times New Roman" w:eastAsia="方正仿宋简体"/>
          <w:b w:val="0"/>
          <w:bCs w:val="0"/>
          <w:color w:val="000000"/>
        </w:rPr>
        <w:t>个</w:t>
      </w:r>
      <w:r>
        <w:rPr>
          <w:rFonts w:hint="eastAsia" w:ascii="方正仿宋简体" w:hAnsi="Times New Roman" w:eastAsia="方正仿宋简体"/>
          <w:b w:val="0"/>
          <w:bCs w:val="0"/>
          <w:color w:val="000000"/>
        </w:rPr>
        <w:t>在</w:t>
      </w:r>
      <w:r>
        <w:rPr>
          <w:rFonts w:hint="eastAsia" w:ascii="Times New Roman" w:hAnsi="Times New Roman" w:eastAsia="方正仿宋简体"/>
          <w:b w:val="0"/>
          <w:bCs w:val="0"/>
          <w:color w:val="000000"/>
        </w:rPr>
        <w:t>2022</w:t>
      </w:r>
      <w:r>
        <w:rPr>
          <w:rFonts w:hint="eastAsia" w:ascii="方正仿宋简体" w:hAnsi="Times New Roman" w:eastAsia="方正仿宋简体"/>
          <w:b w:val="0"/>
          <w:bCs w:val="0"/>
          <w:color w:val="000000"/>
        </w:rPr>
        <w:t>年整合到县群团工作中心，以前中心改设为</w:t>
      </w:r>
      <w:r>
        <w:rPr>
          <w:rFonts w:hint="eastAsia" w:ascii="Times New Roman" w:hAnsi="Times New Roman" w:eastAsia="方正仿宋简体"/>
          <w:b w:val="0"/>
          <w:bCs w:val="0"/>
          <w:color w:val="000000"/>
        </w:rPr>
        <w:t>2</w:t>
      </w:r>
      <w:r>
        <w:rPr>
          <w:rFonts w:hint="eastAsia" w:ascii="方正仿宋简体" w:hAnsi="Times New Roman" w:eastAsia="方正仿宋简体"/>
          <w:b w:val="0"/>
          <w:bCs w:val="0"/>
          <w:color w:val="000000"/>
        </w:rPr>
        <w:t>个股，所属职能职责不变</w:t>
      </w:r>
      <w:r>
        <w:rPr>
          <w:rFonts w:ascii="方正仿宋简体" w:hAnsi="Times New Roman" w:eastAsia="方正仿宋简体"/>
          <w:b w:val="0"/>
          <w:bCs w:val="0"/>
          <w:color w:val="000000"/>
        </w:rPr>
        <w:t>。</w:t>
      </w:r>
      <w:r>
        <w:rPr>
          <w:rFonts w:ascii="Times New Roman" w:hAnsi="Times New Roman" w:eastAsia="方正仿宋简体"/>
          <w:b w:val="0"/>
          <w:bCs w:val="0"/>
          <w:color w:val="000000"/>
        </w:rPr>
        <w:t xml:space="preserve"> </w:t>
      </w:r>
    </w:p>
    <w:p>
      <w:pPr>
        <w:autoSpaceDE w:val="0"/>
        <w:spacing w:line="560" w:lineRule="exact"/>
        <w:ind w:firstLine="630" w:firstLineChars="196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ascii="仿宋_GB2312" w:hAnsi="Times New Roman" w:eastAsia="仿宋_GB2312"/>
          <w:b/>
          <w:bCs/>
          <w:sz w:val="32"/>
          <w:szCs w:val="32"/>
        </w:rPr>
        <w:t>（二）机构职能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具有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仿宋_GB2312" w:hAnsi="Times New Roman" w:eastAsia="仿宋_GB2312"/>
          <w:sz w:val="32"/>
          <w:szCs w:val="32"/>
        </w:rPr>
        <w:t>代表、服务、管理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仿宋_GB2312" w:hAnsi="Times New Roman" w:eastAsia="仿宋_GB2312"/>
          <w:sz w:val="32"/>
          <w:szCs w:val="32"/>
        </w:rPr>
        <w:t>职能：代表残疾人共同利益，维护残疾人合法权益；开展各项业务和活动，直接为残疾人服务；承担政府委托的部分行政职能，发展和管理残疾人事业。</w:t>
      </w:r>
    </w:p>
    <w:p>
      <w:pPr>
        <w:autoSpaceDE w:val="0"/>
        <w:spacing w:line="560" w:lineRule="exact"/>
        <w:ind w:firstLine="630" w:firstLineChars="196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（三）</w:t>
      </w:r>
      <w:r>
        <w:rPr>
          <w:rFonts w:ascii="仿宋_GB2312" w:hAnsi="Times New Roman" w:eastAsia="仿宋_GB2312"/>
          <w:b/>
          <w:bCs/>
          <w:sz w:val="32"/>
          <w:szCs w:val="32"/>
        </w:rPr>
        <w:t>人员概况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泸县残疾人联合会核定</w:t>
      </w:r>
      <w:r>
        <w:rPr>
          <w:rFonts w:hint="eastAsia" w:ascii="仿宋_GB2312" w:hAnsi="Times New Roman" w:eastAsia="仿宋_GB2312"/>
          <w:sz w:val="32"/>
          <w:szCs w:val="32"/>
        </w:rPr>
        <w:t>参公编制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仿宋_GB2312" w:hAnsi="Times New Roman" w:eastAsia="仿宋_GB2312"/>
          <w:sz w:val="32"/>
          <w:szCs w:val="32"/>
        </w:rPr>
        <w:t>名</w:t>
      </w:r>
      <w:r>
        <w:rPr>
          <w:rFonts w:hint="eastAsia" w:ascii="Times New Roman" w:hAnsi="Times New Roman" w:eastAsia="仿宋_GB2312"/>
          <w:sz w:val="32"/>
          <w:szCs w:val="32"/>
        </w:rPr>
        <w:t>,</w:t>
      </w:r>
      <w:r>
        <w:rPr>
          <w:rFonts w:hint="eastAsia" w:ascii="仿宋_GB2312" w:hAnsi="Times New Roman" w:eastAsia="仿宋_GB2312"/>
          <w:sz w:val="32"/>
          <w:szCs w:val="32"/>
        </w:rPr>
        <w:t>实有人员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名。</w:t>
      </w:r>
      <w:r>
        <w:rPr>
          <w:rFonts w:ascii="仿宋_GB2312" w:hAnsi="Times New Roman" w:eastAsia="仿宋_GB2312"/>
          <w:sz w:val="32"/>
          <w:szCs w:val="32"/>
        </w:rPr>
        <w:t>事业编制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hint="eastAsia" w:ascii="仿宋_GB2312" w:hAnsi="Times New Roman" w:eastAsia="仿宋_GB2312"/>
          <w:sz w:val="32"/>
          <w:szCs w:val="32"/>
        </w:rPr>
        <w:t>名，实有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ascii="仿宋_GB2312" w:hAnsi="Times New Roman" w:eastAsia="仿宋_GB2312"/>
          <w:sz w:val="32"/>
          <w:szCs w:val="32"/>
        </w:rPr>
        <w:t>名</w:t>
      </w:r>
      <w:r>
        <w:rPr>
          <w:rFonts w:hint="eastAsia" w:ascii="仿宋_GB2312" w:hAnsi="Times New Roman" w:eastAsia="仿宋_GB2312"/>
          <w:sz w:val="32"/>
          <w:szCs w:val="32"/>
        </w:rPr>
        <w:t>，事业人员人事关系划转到县群团工作中心，办公在县残联</w:t>
      </w:r>
      <w:r>
        <w:rPr>
          <w:rFonts w:ascii="仿宋_GB2312" w:hAnsi="Times New Roman" w:eastAsia="仿宋_GB2312"/>
          <w:sz w:val="32"/>
          <w:szCs w:val="32"/>
        </w:rPr>
        <w:t>。</w:t>
      </w:r>
    </w:p>
    <w:p>
      <w:pPr>
        <w:autoSpaceDE w:val="0"/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仿宋_GB2312" w:hAnsi="Times New Roman" w:eastAsia="仿宋_GB2312"/>
          <w:b/>
          <w:bCs/>
          <w:sz w:val="32"/>
          <w:szCs w:val="32"/>
        </w:rPr>
        <w:t>二、部门财政资金收支情况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（一）部门财政资金收入情况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2022年本年收入合计1230.71万元，其中：一般公共预算财政拨款收入1033.67万元，占83.99%；政府性基金预算财政拨款收入197.04万元，占16.01%；国有资本经营预算财政拨款</w:t>
      </w:r>
      <w:r>
        <w:rPr>
          <w:rFonts w:hint="eastAsia" w:ascii="仿宋_GB2312" w:hAnsi="Times New Roman" w:eastAsia="仿宋_GB2312"/>
          <w:sz w:val="32"/>
          <w:szCs w:val="32"/>
        </w:rPr>
        <w:t>收入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</w:rPr>
        <w:t>；上级补助收入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</w:rPr>
        <w:t>；事业收入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</w:rPr>
        <w:t>；经营收入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</w:rPr>
        <w:t>；附属单位上缴收入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</w:rPr>
        <w:t>；其他收入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autoSpaceDE w:val="0"/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（二）</w:t>
      </w:r>
      <w:r>
        <w:rPr>
          <w:rFonts w:ascii="仿宋_GB2312" w:hAnsi="Times New Roman" w:eastAsia="仿宋_GB2312"/>
          <w:b/>
          <w:sz w:val="32"/>
          <w:szCs w:val="32"/>
        </w:rPr>
        <w:t>部门财政资金支出情况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22</w:t>
      </w:r>
      <w:r>
        <w:rPr>
          <w:rFonts w:hint="eastAsia" w:ascii="仿宋_GB2312" w:hAnsi="Times New Roman" w:eastAsia="仿宋_GB2312"/>
          <w:sz w:val="32"/>
          <w:szCs w:val="32"/>
        </w:rPr>
        <w:t>年本年支出合计</w:t>
      </w:r>
      <w:r>
        <w:rPr>
          <w:rFonts w:hint="eastAsia" w:ascii="Times New Roman" w:hAnsi="Times New Roman" w:eastAsia="仿宋_GB2312"/>
          <w:sz w:val="32"/>
          <w:szCs w:val="32"/>
        </w:rPr>
        <w:t>1230.71</w:t>
      </w:r>
      <w:r>
        <w:rPr>
          <w:rFonts w:hint="eastAsia" w:ascii="仿宋_GB2312" w:hAnsi="Times New Roman" w:eastAsia="仿宋_GB2312"/>
          <w:sz w:val="32"/>
          <w:szCs w:val="32"/>
        </w:rPr>
        <w:t>万元，其中：基本支出</w:t>
      </w:r>
      <w:r>
        <w:rPr>
          <w:rFonts w:hint="eastAsia" w:ascii="Times New Roman" w:hAnsi="Times New Roman" w:eastAsia="仿宋_GB2312"/>
          <w:sz w:val="32"/>
          <w:szCs w:val="32"/>
        </w:rPr>
        <w:t>243.65</w:t>
      </w:r>
      <w:r>
        <w:rPr>
          <w:rFonts w:hint="eastAsia" w:ascii="仿宋_GB2312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</w:rPr>
        <w:t>19.80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</w:rPr>
        <w:t>；项目支出</w:t>
      </w:r>
      <w:r>
        <w:rPr>
          <w:rFonts w:hint="eastAsia" w:ascii="Times New Roman" w:hAnsi="Times New Roman" w:eastAsia="仿宋_GB2312"/>
          <w:sz w:val="32"/>
          <w:szCs w:val="32"/>
        </w:rPr>
        <w:t>987.06</w:t>
      </w:r>
      <w:r>
        <w:rPr>
          <w:rFonts w:hint="eastAsia" w:ascii="仿宋_GB2312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</w:rPr>
        <w:t>81.20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</w:rPr>
        <w:t>；上缴上级支出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</w:rPr>
        <w:t>；经营支出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</w:rPr>
        <w:t>；对附属单位补助支出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万元，占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仿宋_GB2312" w:hAnsi="Times New Roman" w:eastAsia="仿宋_GB2312"/>
          <w:b/>
          <w:bCs/>
          <w:sz w:val="32"/>
          <w:szCs w:val="32"/>
        </w:rPr>
        <w:t>三、部门财政支出管理情况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（一）预决算编制情况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包括预决算编制、绩效目标填报、专项预算提前细化、结余结转管理情况等。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2022</w:t>
      </w:r>
      <w:r>
        <w:rPr>
          <w:rFonts w:hint="eastAsia" w:ascii="仿宋_GB2312" w:hAnsi="Times New Roman" w:eastAsia="仿宋_GB2312"/>
          <w:sz w:val="32"/>
          <w:szCs w:val="32"/>
        </w:rPr>
        <w:t>年我会按照要求编制预决算、认真填报绩效目标、专项预算做到提前细化、加强了结余结转资金管理等。</w:t>
      </w:r>
    </w:p>
    <w:p>
      <w:pPr>
        <w:autoSpaceDE w:val="0"/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（二）执行管理情况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包括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ascii="仿宋_GB2312" w:hAnsi="Times New Roman" w:eastAsia="仿宋_GB2312"/>
          <w:sz w:val="32"/>
          <w:szCs w:val="32"/>
        </w:rPr>
        <w:t>月、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ascii="仿宋_GB2312" w:hAnsi="Times New Roman" w:eastAsia="仿宋_GB2312"/>
          <w:sz w:val="32"/>
          <w:szCs w:val="32"/>
        </w:rPr>
        <w:t>月、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ascii="仿宋_GB2312" w:hAnsi="Times New Roman" w:eastAsia="仿宋_GB2312"/>
          <w:sz w:val="32"/>
          <w:szCs w:val="32"/>
        </w:rPr>
        <w:t>月、全年执行进度、中期评估等。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单位预算资金按照时间进度、项目实施进度执行，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ascii="仿宋_GB2312" w:hAnsi="Times New Roman" w:eastAsia="仿宋_GB2312"/>
          <w:sz w:val="32"/>
          <w:szCs w:val="32"/>
        </w:rPr>
        <w:t>月、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ascii="仿宋_GB2312" w:hAnsi="Times New Roman" w:eastAsia="仿宋_GB2312"/>
          <w:sz w:val="32"/>
          <w:szCs w:val="32"/>
        </w:rPr>
        <w:t>月、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ascii="仿宋_GB2312" w:hAnsi="Times New Roman" w:eastAsia="仿宋_GB2312"/>
          <w:sz w:val="32"/>
          <w:szCs w:val="32"/>
        </w:rPr>
        <w:t>月、全年执行</w:t>
      </w:r>
      <w:r>
        <w:rPr>
          <w:rFonts w:hint="eastAsia" w:ascii="仿宋_GB2312" w:hAnsi="Times New Roman" w:eastAsia="仿宋_GB2312"/>
          <w:sz w:val="32"/>
          <w:szCs w:val="32"/>
        </w:rPr>
        <w:t>达到执行要求</w:t>
      </w:r>
    </w:p>
    <w:p>
      <w:pPr>
        <w:autoSpaceDE w:val="0"/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（三）支出绩效情况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1. </w:t>
      </w:r>
      <w:r>
        <w:rPr>
          <w:rFonts w:ascii="仿宋_GB2312" w:hAnsi="Times New Roman" w:eastAsia="仿宋_GB2312"/>
          <w:b/>
          <w:sz w:val="32"/>
          <w:szCs w:val="32"/>
        </w:rPr>
        <w:t>部门支出绩效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</w:t>
      </w:r>
      <w:r>
        <w:rPr>
          <w:rFonts w:ascii="Times New Roman" w:hAnsi="Times New Roman" w:eastAsia="仿宋_GB2312"/>
          <w:b/>
          <w:sz w:val="32"/>
          <w:szCs w:val="32"/>
        </w:rPr>
        <w:t>1</w:t>
      </w:r>
      <w:r>
        <w:rPr>
          <w:rFonts w:ascii="仿宋_GB2312" w:hAnsi="Times New Roman" w:eastAsia="仿宋_GB2312"/>
          <w:b/>
          <w:sz w:val="32"/>
          <w:szCs w:val="32"/>
        </w:rPr>
        <w:t>）行政运转保障。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保障机关运转、履行职能职责总体情况。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预算保障机关正常运转，能良好的履行职能职责。</w:t>
      </w:r>
    </w:p>
    <w:p>
      <w:pPr>
        <w:autoSpaceDE w:val="0"/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</w:t>
      </w:r>
      <w:r>
        <w:rPr>
          <w:rFonts w:ascii="Times New Roman" w:hAnsi="Times New Roman" w:eastAsia="仿宋_GB2312"/>
          <w:b/>
          <w:sz w:val="32"/>
          <w:szCs w:val="32"/>
        </w:rPr>
        <w:t>2</w:t>
      </w:r>
      <w:r>
        <w:rPr>
          <w:rFonts w:ascii="仿宋_GB2312" w:hAnsi="Times New Roman" w:eastAsia="仿宋_GB2312"/>
          <w:b/>
          <w:sz w:val="32"/>
          <w:szCs w:val="32"/>
        </w:rPr>
        <w:t>）机关厉行节约。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机关因公出国（境）费用、会议费、车辆购置及运行费用和公务接待经费控制压缩情况等。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2022</w:t>
      </w:r>
      <w:r>
        <w:rPr>
          <w:rFonts w:hint="eastAsia" w:ascii="仿宋_GB2312" w:hAnsi="Times New Roman" w:eastAsia="仿宋_GB2312"/>
          <w:sz w:val="32"/>
          <w:szCs w:val="32"/>
        </w:rPr>
        <w:t>年我会厉行节约，严格控制“三公”经费支出，其中单位因公出国（境）费用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万元、会议费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万元、车辆购置费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万元，车辆运行费用</w:t>
      </w:r>
      <w:r>
        <w:rPr>
          <w:rFonts w:hint="eastAsia" w:ascii="Times New Roman" w:hAnsi="Times New Roman" w:eastAsia="仿宋_GB2312"/>
          <w:sz w:val="32"/>
          <w:szCs w:val="32"/>
        </w:rPr>
        <w:t>3.5</w:t>
      </w:r>
      <w:r>
        <w:rPr>
          <w:rFonts w:hint="eastAsia" w:ascii="仿宋_GB2312" w:hAnsi="Times New Roman" w:eastAsia="仿宋_GB2312"/>
          <w:sz w:val="32"/>
          <w:szCs w:val="32"/>
        </w:rPr>
        <w:t>万元和公务接待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万元。</w:t>
      </w:r>
    </w:p>
    <w:p>
      <w:pPr>
        <w:autoSpaceDE w:val="0"/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</w:t>
      </w:r>
      <w:r>
        <w:rPr>
          <w:rFonts w:ascii="Times New Roman" w:hAnsi="Times New Roman" w:eastAsia="仿宋_GB2312"/>
          <w:b/>
          <w:sz w:val="32"/>
          <w:szCs w:val="32"/>
        </w:rPr>
        <w:t>3</w:t>
      </w:r>
      <w:r>
        <w:rPr>
          <w:rFonts w:ascii="仿宋_GB2312" w:hAnsi="Times New Roman" w:eastAsia="仿宋_GB2312"/>
          <w:b/>
          <w:sz w:val="32"/>
          <w:szCs w:val="32"/>
        </w:rPr>
        <w:t>）机关节能降耗。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机关水、电、气、燃油节能降耗情况等。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2022</w:t>
      </w:r>
      <w:r>
        <w:rPr>
          <w:rFonts w:hint="eastAsia" w:ascii="仿宋_GB2312" w:hAnsi="Times New Roman" w:eastAsia="仿宋_GB2312"/>
          <w:sz w:val="32"/>
          <w:szCs w:val="32"/>
        </w:rPr>
        <w:t>年，我会机关水、电、气、燃油节能降耗都取得较大进展，加强了机关内部管理，严格控制水、电、气、燃油等支出。</w:t>
      </w:r>
    </w:p>
    <w:p>
      <w:pPr>
        <w:autoSpaceDE w:val="0"/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2. </w:t>
      </w:r>
      <w:r>
        <w:rPr>
          <w:rFonts w:ascii="仿宋_GB2312" w:hAnsi="Times New Roman" w:eastAsia="仿宋_GB2312"/>
          <w:b/>
          <w:sz w:val="32"/>
          <w:szCs w:val="32"/>
        </w:rPr>
        <w:t>专项预算项目（待批复项目）支出绩效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</w:t>
      </w:r>
      <w:r>
        <w:rPr>
          <w:rFonts w:ascii="Times New Roman" w:hAnsi="Times New Roman" w:eastAsia="仿宋_GB2312"/>
          <w:b/>
          <w:sz w:val="32"/>
          <w:szCs w:val="32"/>
        </w:rPr>
        <w:t>1</w:t>
      </w:r>
      <w:r>
        <w:rPr>
          <w:rFonts w:ascii="仿宋_GB2312" w:hAnsi="Times New Roman" w:eastAsia="仿宋_GB2312"/>
          <w:b/>
          <w:sz w:val="32"/>
          <w:szCs w:val="32"/>
        </w:rPr>
        <w:t>）资金绩效分配情况。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执行《四川省省级财政专项资金绩效分配管理暂行办法》，实施绩效分配情况。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我会严格</w:t>
      </w:r>
      <w:r>
        <w:rPr>
          <w:rFonts w:ascii="仿宋_GB2312" w:hAnsi="Times New Roman" w:eastAsia="仿宋_GB2312"/>
          <w:sz w:val="32"/>
          <w:szCs w:val="32"/>
        </w:rPr>
        <w:t>执行《四川省省级财政专项资金绩效分配管理暂行</w:t>
      </w:r>
      <w:r>
        <w:rPr>
          <w:rFonts w:ascii="仿宋_GB2312" w:hAnsi="Times New Roman" w:eastAsia="仿宋_GB2312"/>
          <w:b/>
          <w:sz w:val="32"/>
          <w:szCs w:val="32"/>
        </w:rPr>
        <w:t>办法》，</w:t>
      </w:r>
      <w:r>
        <w:rPr>
          <w:rFonts w:hint="eastAsia" w:ascii="仿宋_GB2312" w:hAnsi="Times New Roman" w:eastAsia="仿宋_GB2312"/>
          <w:b/>
          <w:sz w:val="32"/>
          <w:szCs w:val="32"/>
        </w:rPr>
        <w:t>严格落实项目资金</w:t>
      </w:r>
      <w:r>
        <w:rPr>
          <w:rFonts w:ascii="仿宋_GB2312" w:hAnsi="Times New Roman" w:eastAsia="仿宋_GB2312"/>
          <w:b/>
          <w:sz w:val="32"/>
          <w:szCs w:val="32"/>
        </w:rPr>
        <w:t>绩效分配</w:t>
      </w:r>
    </w:p>
    <w:p>
      <w:pPr>
        <w:autoSpaceDE w:val="0"/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</w:t>
      </w:r>
      <w:r>
        <w:rPr>
          <w:rFonts w:ascii="Times New Roman" w:hAnsi="Times New Roman" w:eastAsia="仿宋_GB2312"/>
          <w:b/>
          <w:sz w:val="32"/>
          <w:szCs w:val="32"/>
        </w:rPr>
        <w:t>2</w:t>
      </w:r>
      <w:r>
        <w:rPr>
          <w:rFonts w:ascii="仿宋_GB2312" w:hAnsi="Times New Roman" w:eastAsia="仿宋_GB2312"/>
          <w:b/>
          <w:sz w:val="32"/>
          <w:szCs w:val="32"/>
        </w:rPr>
        <w:t>）项目资金管理情况。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项目资金管理办法、中长期规划等制度建设情况等。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我会每个项目均制定</w:t>
      </w:r>
      <w:r>
        <w:rPr>
          <w:rFonts w:ascii="仿宋_GB2312" w:hAnsi="Times New Roman" w:eastAsia="仿宋_GB2312"/>
          <w:sz w:val="32"/>
          <w:szCs w:val="32"/>
        </w:rPr>
        <w:t>项目资金管理办法</w:t>
      </w:r>
      <w:r>
        <w:rPr>
          <w:rFonts w:hint="eastAsia" w:ascii="仿宋_GB2312" w:hAnsi="Times New Roman" w:eastAsia="仿宋_GB2312"/>
          <w:sz w:val="32"/>
          <w:szCs w:val="32"/>
        </w:rPr>
        <w:t>，严格按照资金管理办法使用资金。</w:t>
      </w:r>
    </w:p>
    <w:p>
      <w:pPr>
        <w:autoSpaceDE w:val="0"/>
        <w:spacing w:line="56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（3）绩效目标完成情况。</w:t>
      </w:r>
    </w:p>
    <w:p>
      <w:pPr>
        <w:autoSpaceDE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项目实施完成后预期经济、社会效益等绩效目标实现情况。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所有项目都完成绩效目标，社会反响较好，残疾人及家属满意度高。</w:t>
      </w:r>
    </w:p>
    <w:p>
      <w:pPr>
        <w:autoSpaceDE w:val="0"/>
        <w:spacing w:line="560" w:lineRule="exact"/>
        <w:ind w:firstLine="630" w:firstLineChars="196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（四）财务管理情况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机关财务管理规章制度建立情况，会计核算和账务管理情况，政府采购制度执行情况等。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我会建立健全财务管理规章制度，会计核算和账务管理规范，严格执行政府采购制度。</w:t>
      </w:r>
    </w:p>
    <w:p>
      <w:pPr>
        <w:autoSpaceDE w:val="0"/>
        <w:spacing w:line="56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b/>
          <w:sz w:val="32"/>
          <w:szCs w:val="32"/>
        </w:rPr>
        <w:t>（五）绩效管理工作开展情况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部门自评工作开展和评价结果运用情况。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我会认真组织人员开展自评工作，总结经验、汲取教训，将自评结果运用到以后的工作中，争取发挥资金最大使用效益。</w:t>
      </w:r>
    </w:p>
    <w:p>
      <w:pPr>
        <w:autoSpaceDE w:val="0"/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仿宋_GB2312" w:hAnsi="Times New Roman" w:eastAsia="仿宋_GB2312"/>
          <w:b/>
          <w:bCs/>
          <w:sz w:val="32"/>
          <w:szCs w:val="32"/>
        </w:rPr>
        <w:t>四、评价结论及建议</w:t>
      </w:r>
    </w:p>
    <w:p>
      <w:pPr>
        <w:autoSpaceDE w:val="0"/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仿宋_GB2312" w:hAnsi="Times New Roman" w:eastAsia="仿宋_GB2312"/>
          <w:b/>
          <w:bCs/>
          <w:sz w:val="32"/>
          <w:szCs w:val="32"/>
        </w:rPr>
        <w:t>（一）评价结论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良好。</w:t>
      </w:r>
    </w:p>
    <w:p>
      <w:pPr>
        <w:autoSpaceDE w:val="0"/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（二）</w:t>
      </w:r>
      <w:r>
        <w:rPr>
          <w:rFonts w:ascii="仿宋_GB2312" w:hAnsi="Times New Roman" w:eastAsia="仿宋_GB2312"/>
          <w:b/>
          <w:bCs/>
          <w:sz w:val="32"/>
          <w:szCs w:val="32"/>
        </w:rPr>
        <w:t>存在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问题</w:t>
      </w:r>
    </w:p>
    <w:p>
      <w:pPr>
        <w:autoSpaceDE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无。</w:t>
      </w:r>
    </w:p>
    <w:p>
      <w:pPr>
        <w:autoSpaceDE w:val="0"/>
        <w:spacing w:line="560" w:lineRule="exact"/>
        <w:ind w:firstLine="643" w:firstLineChars="200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（三）</w:t>
      </w:r>
      <w:r>
        <w:rPr>
          <w:rFonts w:ascii="仿宋_GB2312" w:hAnsi="Times New Roman" w:eastAsia="仿宋_GB2312"/>
          <w:b/>
          <w:bCs/>
          <w:sz w:val="32"/>
          <w:szCs w:val="32"/>
        </w:rPr>
        <w:t>改进建议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wYzZhM2QxZGUyNWI3NjNkMGM2ZmQ1YzMyY2EzNTQifQ=="/>
  </w:docVars>
  <w:rsids>
    <w:rsidRoot w:val="00E876E6"/>
    <w:rsid w:val="002A49A6"/>
    <w:rsid w:val="00E876E6"/>
    <w:rsid w:val="0A4A3126"/>
    <w:rsid w:val="273D1C6F"/>
    <w:rsid w:val="5970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link w:val="7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8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Normal (Web)"/>
    <w:basedOn w:val="1"/>
    <w:semiHidden/>
    <w:unhideWhenUsed/>
    <w:uiPriority w:val="99"/>
    <w:rPr>
      <w:rFonts w:ascii="Times New Roman" w:hAnsi="Times New Roman"/>
      <w:sz w:val="24"/>
      <w:szCs w:val="24"/>
    </w:rPr>
  </w:style>
  <w:style w:type="character" w:customStyle="1" w:styleId="7">
    <w:name w:val="标题 2 Char"/>
    <w:basedOn w:val="6"/>
    <w:link w:val="4"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正文文本 Char"/>
    <w:basedOn w:val="6"/>
    <w:link w:val="2"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235</Words>
  <Characters>1343</Characters>
  <Lines>11</Lines>
  <Paragraphs>3</Paragraphs>
  <TotalTime>3</TotalTime>
  <ScaleCrop>false</ScaleCrop>
  <LinksUpToDate>false</LinksUpToDate>
  <CharactersWithSpaces>1575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2023-12-14T02:06:00Z</dcterms:created>
  <dc:creator>Administrator</dc:creator>
  <cp:lastModifiedBy>Administrator</cp:lastModifiedBy>
  <dcterms:modified xsi:type="dcterms:W3CDTF">2023-12-14T02:17:48Z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D39F17AC269C450BBE5690AEE36C7935_12</vt:lpwstr>
  </property>
</Properties>
</file>